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1</w:t>
      </w:r>
      <w:bookmarkStart w:id="0" w:name="_GoBack"/>
      <w:bookmarkEnd w:id="0"/>
    </w:p>
    <w:p>
      <w:pPr>
        <w:jc w:val="center"/>
        <w:rPr>
          <w:rFonts w:hint="eastAsia"/>
          <w:b/>
          <w:bCs/>
          <w:sz w:val="44"/>
          <w:szCs w:val="44"/>
        </w:rPr>
      </w:pPr>
    </w:p>
    <w:p>
      <w:pPr>
        <w:jc w:val="center"/>
        <w:rPr>
          <w:rFonts w:hint="eastAsia"/>
          <w:b/>
          <w:bCs/>
          <w:sz w:val="44"/>
          <w:szCs w:val="44"/>
        </w:rPr>
      </w:pPr>
      <w:r>
        <w:rPr>
          <w:rFonts w:hint="eastAsia"/>
          <w:b/>
          <w:bCs/>
          <w:sz w:val="44"/>
          <w:szCs w:val="44"/>
        </w:rPr>
        <w:t>吉林省气象灾害防御重点单位</w:t>
      </w:r>
    </w:p>
    <w:p>
      <w:pPr>
        <w:jc w:val="center"/>
        <w:rPr>
          <w:rFonts w:hint="eastAsia"/>
          <w:b/>
          <w:bCs/>
          <w:sz w:val="44"/>
          <w:szCs w:val="44"/>
        </w:rPr>
      </w:pPr>
      <w:r>
        <w:rPr>
          <w:rFonts w:hint="eastAsia"/>
          <w:b/>
          <w:bCs/>
          <w:sz w:val="44"/>
          <w:szCs w:val="44"/>
        </w:rPr>
        <w:t>气象安全管理办法</w:t>
      </w:r>
    </w:p>
    <w:p>
      <w:pPr>
        <w:jc w:val="center"/>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征求意见稿</w:t>
      </w:r>
      <w:r>
        <w:rPr>
          <w:rFonts w:hint="eastAsia" w:ascii="仿宋_GB2312" w:hAnsi="仿宋_GB2312" w:eastAsia="仿宋_GB2312" w:cs="仿宋_GB2312"/>
          <w:b w:val="0"/>
          <w:bCs w:val="0"/>
          <w:sz w:val="32"/>
          <w:szCs w:val="32"/>
        </w:rPr>
        <w:t>）</w:t>
      </w:r>
    </w:p>
    <w:p>
      <w:pPr>
        <w:pStyle w:val="2"/>
        <w:ind w:left="0" w:leftChars="0" w:firstLine="0" w:firstLineChars="0"/>
        <w:jc w:val="left"/>
        <w:rPr>
          <w:rFonts w:hint="eastAsia" w:ascii="黑体" w:hAnsi="黑体" w:eastAsia="黑体" w:cs="黑体"/>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目录</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rPr>
      </w:pPr>
      <w:r>
        <w:rPr>
          <w:rFonts w:hint="eastAsia" w:ascii="黑体" w:hAnsi="黑体" w:eastAsia="黑体" w:cs="黑体"/>
          <w:sz w:val="32"/>
          <w:szCs w:val="32"/>
        </w:rPr>
        <w:t>第二章 重点单位的确定</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rPr>
      </w:pPr>
      <w:r>
        <w:rPr>
          <w:rFonts w:hint="eastAsia" w:ascii="黑体" w:hAnsi="黑体" w:eastAsia="黑体" w:cs="黑体"/>
          <w:sz w:val="32"/>
          <w:szCs w:val="32"/>
        </w:rPr>
        <w:t>第三章 重点单位气象灾害防御</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rPr>
      </w:pPr>
      <w:r>
        <w:rPr>
          <w:rFonts w:hint="eastAsia" w:ascii="黑体" w:hAnsi="黑体" w:eastAsia="黑体" w:cs="黑体"/>
          <w:sz w:val="32"/>
          <w:szCs w:val="32"/>
        </w:rPr>
        <w:t>第四章 服务与监督</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rPr>
      </w:pPr>
      <w:r>
        <w:rPr>
          <w:rFonts w:hint="eastAsia" w:ascii="黑体" w:hAnsi="黑体" w:eastAsia="黑体" w:cs="黑体"/>
          <w:sz w:val="32"/>
          <w:szCs w:val="32"/>
        </w:rPr>
        <w:t>第五章 法律责任</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rPr>
      </w:pPr>
      <w:r>
        <w:rPr>
          <w:rFonts w:hint="eastAsia" w:ascii="黑体" w:hAnsi="黑体" w:eastAsia="黑体" w:cs="黑体"/>
          <w:sz w:val="32"/>
          <w:szCs w:val="32"/>
        </w:rPr>
        <w:t>第六章 附则</w:t>
      </w:r>
    </w:p>
    <w:p>
      <w:pPr>
        <w:pStyle w:val="2"/>
        <w:rPr>
          <w:rFonts w:hint="eastAsia"/>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312" w:beforeLines="100" w:after="312" w:afterLines="100"/>
        <w:jc w:val="center"/>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第一条【立法目的】</w:t>
      </w:r>
      <w:r>
        <w:rPr>
          <w:rFonts w:hint="eastAsia" w:ascii="仿宋_GB2312" w:hAnsi="仿宋_GB2312" w:eastAsia="仿宋_GB2312" w:cs="仿宋_GB2312"/>
          <w:sz w:val="32"/>
          <w:szCs w:val="32"/>
        </w:rPr>
        <w:t xml:space="preserve"> 为了加强对气象灾害防御重点单位的管理，避免、减轻气象灾害造成的损失，保障人民生命财产安全，根据《中华人民共和国气象法》《吉林省气象灾害防御条例》等法律、法规，结合本省实际，制定本办法。</w:t>
      </w:r>
      <w:r>
        <w:rPr>
          <w:rFonts w:hint="eastAsia" w:ascii="仿宋_GB2312" w:hAnsi="仿宋_GB2312" w:eastAsia="仿宋_GB2312" w:cs="仿宋_GB2312"/>
          <w:sz w:val="32"/>
          <w:szCs w:val="32"/>
        </w:rPr>
        <w:tab/>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第二条【适用范围和定义】</w:t>
      </w:r>
      <w:r>
        <w:rPr>
          <w:rFonts w:hint="eastAsia" w:ascii="仿宋_GB2312" w:hAnsi="仿宋_GB2312" w:eastAsia="仿宋_GB2312" w:cs="仿宋_GB2312"/>
          <w:sz w:val="32"/>
          <w:szCs w:val="32"/>
        </w:rPr>
        <w:t xml:space="preserve"> 本省行政区域内气象灾害防御重点单位的气象安全管理活动，适用本办法。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所称气象灾害防御重点单位（以下简称重点单位），是指在发生台风、暴雨、暴雪、大风、严寒、沙尘暴、大雾、霾、寒潮、高温、干旱、霜冻、低温冷害、冰冻、雷电和冰雹等灾害性天气时，容易造成较大人员伤亡、财产损失或者发生较严重安全事故的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第三条【职责分工】</w:t>
      </w:r>
      <w:r>
        <w:rPr>
          <w:rFonts w:hint="eastAsia" w:ascii="仿宋_GB2312" w:hAnsi="仿宋_GB2312" w:eastAsia="仿宋_GB2312" w:cs="仿宋_GB2312"/>
          <w:sz w:val="32"/>
          <w:szCs w:val="32"/>
        </w:rPr>
        <w:t xml:space="preserve"> 县级以上人民政府应当加强对重点单位气象安全管理工作的组织领导和经费保障，及时协调、解决重点单位气象安全管理中存在的重大问题。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县级以上气象主管机构应当加强对重点单位气象安全管理工作的指导，建立健全重点单位气象灾害防御制度。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展和改革、教育、工业和信息化、自然资源、生态环境、住房和城乡建设、交通运输、水利、农业农村、文化和旅游、卫生健康、应急管理、体育等部门按照职责分工，负责本行业、本领域重点单位的气象安全监督、管理和检查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乡（镇）人民政府、街道办事处应当协助县级以上人民政府有关部门依法履行重点单位气象安全管理相关职责。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第四条【单位职责】</w:t>
      </w:r>
      <w:r>
        <w:rPr>
          <w:rFonts w:hint="eastAsia" w:ascii="仿宋_GB2312" w:hAnsi="仿宋_GB2312" w:eastAsia="仿宋_GB2312" w:cs="仿宋_GB2312"/>
          <w:sz w:val="32"/>
          <w:szCs w:val="32"/>
        </w:rPr>
        <w:t xml:space="preserve"> 重点单位应当做好本单位的气象灾害防御工作，落实本单位气象灾害防御主体责任，接受相关行业主管部门的监督和管理。</w:t>
      </w:r>
    </w:p>
    <w:p>
      <w:pPr>
        <w:keepNext w:val="0"/>
        <w:keepLines w:val="0"/>
        <w:pageBreakBefore w:val="0"/>
        <w:widowControl w:val="0"/>
        <w:kinsoku/>
        <w:wordWrap/>
        <w:overflowPunct/>
        <w:topLinePunct w:val="0"/>
        <w:autoSpaceDE/>
        <w:autoSpaceDN/>
        <w:bidi w:val="0"/>
        <w:adjustRightInd/>
        <w:snapToGrid/>
        <w:spacing w:before="312" w:beforeLines="100" w:after="312" w:afterLines="100"/>
        <w:jc w:val="center"/>
        <w:textAlignment w:val="auto"/>
        <w:rPr>
          <w:rFonts w:hint="eastAsia" w:ascii="黑体" w:hAnsi="黑体" w:eastAsia="黑体" w:cs="黑体"/>
          <w:sz w:val="32"/>
          <w:szCs w:val="32"/>
        </w:rPr>
      </w:pPr>
      <w:r>
        <w:rPr>
          <w:rFonts w:hint="eastAsia" w:ascii="黑体" w:hAnsi="黑体" w:eastAsia="黑体" w:cs="黑体"/>
          <w:sz w:val="32"/>
          <w:szCs w:val="32"/>
        </w:rPr>
        <w:t>第二章 重点单位的确定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第五条【确定依据】</w:t>
      </w:r>
      <w:r>
        <w:rPr>
          <w:rFonts w:hint="eastAsia" w:ascii="仿宋_GB2312" w:hAnsi="仿宋_GB2312" w:eastAsia="仿宋_GB2312" w:cs="仿宋_GB2312"/>
          <w:sz w:val="32"/>
          <w:szCs w:val="32"/>
        </w:rPr>
        <w:t xml:space="preserve"> 确定重点单位应当以气象灾害风险评估结果为依据，综合考虑下列因素：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（一）单位所处区域的气象灾害风险等级；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（二）单位的位置及其所处区域的地形、地质、地貌、气象、环境等条件；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（三）单位的重要性、工作特性；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（四）发生灾害性天气时可能造成的损失程度。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第六条【单位范围】</w:t>
      </w:r>
      <w:r>
        <w:rPr>
          <w:rFonts w:hint="eastAsia" w:ascii="仿宋_GB2312" w:hAnsi="仿宋_GB2312" w:eastAsia="仿宋_GB2312" w:cs="仿宋_GB2312"/>
          <w:sz w:val="32"/>
          <w:szCs w:val="32"/>
        </w:rPr>
        <w:t xml:space="preserve"> 下列单位可以确定为重点单位：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（一）通信、电力、燃气、广电及水生产等对国计民生有重大影响的企事业单位；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（二）学校、医院、商场、车站、地铁站、机场、旅游景区等人员密集场所的运行、管理单位；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（三）易燃易爆、有毒有害等危险物品的生产、充装、储存、供应、运输、销售单位；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（四）重大基础设施、大型工程、公共工程、经济开发项目等在建工程的建设单位；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（五）铁路、道路、河道、航空等运行、管理单位；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（六）大中型水库、大型林场等的经营管理单位；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（七）矿山、重点尾矿库或者正在生产的尾矿库等的经营管理单位；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（八）从事大型生产、制造业的单位或者大型劳动密集型企业；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（九）省级以上重点文物保护单位的管理单位或者文物收藏单位；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（十）其他因气象灾害容易造成较大人员伤亡、财产损失的单位。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第七条【确定条件】</w:t>
      </w:r>
      <w:r>
        <w:rPr>
          <w:rFonts w:hint="eastAsia" w:ascii="仿宋_GB2312" w:hAnsi="仿宋_GB2312" w:eastAsia="仿宋_GB2312" w:cs="仿宋_GB2312"/>
          <w:sz w:val="32"/>
          <w:szCs w:val="32"/>
        </w:rPr>
        <w:t xml:space="preserve"> 本办法第六条所列单位符合下列条件之一的，应当确定为重点单位：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（一）曾经发生气象灾害或者次生、衍生灾害，造成较大人员伤亡、财产损失的单位；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（二）在气象灾害高危险等级区域内的单位；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（三）同时对三种以上灾害性天气高敏感的单位。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第八条【确定流程】</w:t>
      </w:r>
      <w:r>
        <w:rPr>
          <w:rFonts w:hint="eastAsia" w:ascii="仿宋_GB2312" w:hAnsi="仿宋_GB2312" w:eastAsia="仿宋_GB2312" w:cs="仿宋_GB2312"/>
          <w:sz w:val="32"/>
          <w:szCs w:val="32"/>
        </w:rPr>
        <w:t xml:space="preserve"> 县级人民政府相关行业主管部门应当根据本办法第五条、第六条、第七条规定，向同级气象主管机构提出各自监管的行业重点单位名录。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气象主管机构应当组织专家或者委托第三方专业机构对拟定的重点单位进行评审，评审不得向被评审单位收取任何费用，评审结果报同级人民政府，由人民政府确定后向社会公布。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市辖区内没有气象主管机构的，由上一级人民政府相关部门及气象主管机构按照前款规定提出重点单位名录，报同级人民政府确定并公布。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第九条【指定单位】</w:t>
      </w:r>
      <w:r>
        <w:rPr>
          <w:rFonts w:hint="eastAsia" w:ascii="仿宋_GB2312" w:hAnsi="仿宋_GB2312" w:eastAsia="仿宋_GB2312" w:cs="仿宋_GB2312"/>
          <w:sz w:val="32"/>
          <w:szCs w:val="32"/>
        </w:rPr>
        <w:t xml:space="preserve"> 油库、气库、弹药库、危险化学品仓库、加油（气）站的经营管理单位和烟花爆竹、石化等易燃易爆物品、产品的生产单位，由气象主管机构会同相关行业主管部门直接列入重点单位名录。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第十条【动态管理】</w:t>
      </w:r>
      <w:r>
        <w:rPr>
          <w:rFonts w:hint="eastAsia" w:ascii="仿宋_GB2312" w:hAnsi="仿宋_GB2312" w:eastAsia="仿宋_GB2312" w:cs="仿宋_GB2312"/>
          <w:sz w:val="32"/>
          <w:szCs w:val="32"/>
        </w:rPr>
        <w:t xml:space="preserve"> 重点单位名录应当实行动态管理，至少每两年更新一次。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重点单位的性质、规模、所处位置等发生重大改变，不再符合本办法第五条、第六条、第七条规定的，相关行业主管部门应当会同气象主管机构核实后，及时报同级人民政府将该重点单位移出重点单位名录。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第十一条【信息库建设】</w:t>
      </w:r>
      <w:r>
        <w:rPr>
          <w:rFonts w:hint="eastAsia" w:ascii="仿宋_GB2312" w:hAnsi="仿宋_GB2312" w:eastAsia="仿宋_GB2312" w:cs="仿宋_GB2312"/>
          <w:sz w:val="32"/>
          <w:szCs w:val="32"/>
        </w:rPr>
        <w:t xml:space="preserve"> 县级以上气象主管机构应当建立重点单位信息库，与相关行业主管部门之间实现重点单位信息库的共享共用。信息库内容应当根据重点单位变动信息及时更新。</w:t>
      </w:r>
    </w:p>
    <w:p>
      <w:pPr>
        <w:keepNext w:val="0"/>
        <w:keepLines w:val="0"/>
        <w:pageBreakBefore w:val="0"/>
        <w:widowControl w:val="0"/>
        <w:kinsoku/>
        <w:wordWrap/>
        <w:overflowPunct/>
        <w:topLinePunct w:val="0"/>
        <w:autoSpaceDE/>
        <w:autoSpaceDN/>
        <w:bidi w:val="0"/>
        <w:adjustRightInd/>
        <w:snapToGrid/>
        <w:spacing w:before="312" w:beforeLines="100" w:after="312" w:afterLines="100"/>
        <w:jc w:val="center"/>
        <w:textAlignment w:val="auto"/>
        <w:rPr>
          <w:rFonts w:hint="eastAsia" w:ascii="黑体" w:hAnsi="黑体" w:eastAsia="黑体" w:cs="黑体"/>
          <w:sz w:val="32"/>
          <w:szCs w:val="32"/>
        </w:rPr>
      </w:pPr>
      <w:r>
        <w:rPr>
          <w:rFonts w:hint="eastAsia" w:ascii="黑体" w:hAnsi="黑体" w:eastAsia="黑体" w:cs="黑体"/>
          <w:sz w:val="32"/>
          <w:szCs w:val="32"/>
        </w:rPr>
        <w:t>第三章 重点单位气象灾害防御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第十二条 【主体责任】</w:t>
      </w:r>
      <w:r>
        <w:rPr>
          <w:rFonts w:hint="eastAsia" w:ascii="仿宋_GB2312" w:hAnsi="仿宋_GB2312" w:eastAsia="仿宋_GB2312" w:cs="仿宋_GB2312"/>
          <w:sz w:val="32"/>
          <w:szCs w:val="32"/>
        </w:rPr>
        <w:t xml:space="preserve"> 重点单位应当履行气象灾害防御主体责任，将气象灾害防御工作纳入本单位安全生产责任制，制定完善应急预案，明确责任人及其职责，保障气象灾害防御工作所需经费，并接受气象主管机构和有关部门指导、监督和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重点单位主要负责人是本单位气象灾害防御第一责任人，对本单位的气象灾害防御工作全面负责。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第十三条 【重点单位职责】</w:t>
      </w:r>
      <w:r>
        <w:rPr>
          <w:rFonts w:hint="eastAsia" w:ascii="仿宋_GB2312" w:hAnsi="仿宋_GB2312" w:eastAsia="仿宋_GB2312" w:cs="仿宋_GB2312"/>
          <w:sz w:val="32"/>
          <w:szCs w:val="32"/>
        </w:rPr>
        <w:t xml:space="preserve"> 重点单位应当履行下列气象灾害防御工作职责：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（一）制定完善气象灾害防御工作制度；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按照吉林省气候可行性论证项目指导目录要求开展气候可行性论证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针对易受影响的气象灾害种类采取有效的防御措施；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）定期对从业人员开展气象灾害防御知识培训；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）每年至少组织开展一次气象灾害防御应急演练；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）在灾害性天气影响或者气象灾害发生期间，开展气象灾害防御；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）气象灾害发生后，及时收集气象灾情并向气象主管机构和有关部门报送，配合做好灾情调查工作；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）法律法规和规章规定的其他气象灾害防御工作。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第十四条【防御措施】</w:t>
      </w:r>
      <w:r>
        <w:rPr>
          <w:rFonts w:hint="eastAsia" w:ascii="仿宋_GB2312" w:hAnsi="仿宋_GB2312" w:eastAsia="仿宋_GB2312" w:cs="仿宋_GB2312"/>
          <w:sz w:val="32"/>
          <w:szCs w:val="32"/>
        </w:rPr>
        <w:t xml:space="preserve"> 重点单位应当根据易受影响的气象灾害种类，确定气象灾害防御重点部位，设计避灾路线图或者明确避灾场所，储备气象灾害防御应急物资，加强防涝、防旱、防雷、防雹、防雾、防风、防低温、防高温、防冻等防御装置、器材、设施的配备或者建设，提高经营场所、设施设备、生产工具、机械装置等的防灾减灾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第十五条【定期巡查】</w:t>
      </w:r>
      <w:r>
        <w:rPr>
          <w:rFonts w:hint="eastAsia" w:ascii="仿宋_GB2312" w:hAnsi="仿宋_GB2312" w:eastAsia="仿宋_GB2312" w:cs="仿宋_GB2312"/>
          <w:sz w:val="32"/>
          <w:szCs w:val="32"/>
        </w:rPr>
        <w:t xml:space="preserve"> 重点单位应当根据本单位的特点开展定期巡查。定期巡查包括以下内容：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（一）气象灾害隐患排查、整改及防范措施落实情况；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（二）气象灾害防御重点部位管理情况；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（三）气象灾害预报预警信息接收、传播情况；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（四）雷电防护等防御装置、器材、设施的检测及日常维护情况；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（五）其他需要巡查的内容。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定期巡查应当做好记录。记录内容包括巡查时间、巡查人员、巡查内容和部位、巡查结果及处置情况等，巡查记录由巡查人员签字确认。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第十六条【预警响应】</w:t>
      </w:r>
      <w:r>
        <w:rPr>
          <w:rFonts w:hint="eastAsia" w:ascii="仿宋_GB2312" w:hAnsi="仿宋_GB2312" w:eastAsia="仿宋_GB2312" w:cs="仿宋_GB2312"/>
          <w:sz w:val="32"/>
          <w:szCs w:val="32"/>
        </w:rPr>
        <w:t xml:space="preserve"> 重点单位应当及时接收气象灾害预警信息，根据气象灾害应急预案启动应急响应，采取防御措施。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第十七条【应急报告】</w:t>
      </w:r>
      <w:r>
        <w:rPr>
          <w:rFonts w:hint="eastAsia" w:ascii="仿宋_GB2312" w:hAnsi="仿宋_GB2312" w:eastAsia="仿宋_GB2312" w:cs="仿宋_GB2312"/>
          <w:sz w:val="32"/>
          <w:szCs w:val="32"/>
        </w:rPr>
        <w:t xml:space="preserve"> 发生气象灾害或者由其造成的安全事故，可能危及相邻区域安全时，重点单位应当立即向所在地人民政府有关部门报告，并服从政府有关部门的指挥、调度。鼓励重点单位建立应急救援队伍参与抢险救援和灾后秩序恢复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第十八条【防御档案】</w:t>
      </w:r>
      <w:r>
        <w:rPr>
          <w:rFonts w:hint="eastAsia" w:ascii="仿宋_GB2312" w:hAnsi="仿宋_GB2312" w:eastAsia="仿宋_GB2312" w:cs="仿宋_GB2312"/>
          <w:sz w:val="32"/>
          <w:szCs w:val="32"/>
        </w:rPr>
        <w:t xml:space="preserve"> 重点单位应当建立气象灾害防御档案。气象灾害防御档案包括以下内容：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（一）易受影响的气象灾害种类、气象灾害防御重点部位；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（二）气象灾害防御责任人、气象安全管理机构或者管理员的相关文件资料；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（三）气象灾害防御工作制度，包括气象灾害应急预案和应急演练、知识培训、定期巡查等制度文件；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（四）气象灾害防御工作手册，包括应急演练、知识培训、定期巡查、隐患排查及整改等开展情况记录，防御装置、器材、设施的检测及日常维护记录；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（五）气象灾害防御应急物资储备情况；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（六）气象灾害应急处置情况；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（七）其他需要归档的资料。</w:t>
      </w:r>
    </w:p>
    <w:p>
      <w:pPr>
        <w:keepNext w:val="0"/>
        <w:keepLines w:val="0"/>
        <w:pageBreakBefore w:val="0"/>
        <w:widowControl w:val="0"/>
        <w:kinsoku/>
        <w:wordWrap/>
        <w:overflowPunct/>
        <w:topLinePunct w:val="0"/>
        <w:autoSpaceDE/>
        <w:autoSpaceDN/>
        <w:bidi w:val="0"/>
        <w:adjustRightInd/>
        <w:snapToGrid/>
        <w:spacing w:before="312" w:beforeLines="100" w:after="312" w:afterLines="100"/>
        <w:jc w:val="center"/>
        <w:textAlignment w:val="auto"/>
        <w:rPr>
          <w:rFonts w:hint="eastAsia" w:ascii="黑体" w:hAnsi="黑体" w:eastAsia="黑体" w:cs="黑体"/>
          <w:sz w:val="32"/>
          <w:szCs w:val="32"/>
        </w:rPr>
      </w:pPr>
      <w:r>
        <w:rPr>
          <w:rFonts w:hint="eastAsia" w:ascii="黑体" w:hAnsi="黑体" w:eastAsia="黑体" w:cs="黑体"/>
          <w:sz w:val="32"/>
          <w:szCs w:val="32"/>
        </w:rPr>
        <w:t>第四章 服务与监督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第十九条【信息服务】</w:t>
      </w:r>
      <w:r>
        <w:rPr>
          <w:rFonts w:hint="eastAsia" w:ascii="仿宋_GB2312" w:hAnsi="仿宋_GB2312" w:eastAsia="仿宋_GB2312" w:cs="仿宋_GB2312"/>
          <w:sz w:val="32"/>
          <w:szCs w:val="32"/>
        </w:rPr>
        <w:t xml:space="preserve"> 县级以上气象主管机构应当根据重点单位易受影响的气象灾害种类，向重点单位宣传普及气象灾害防御知识，及时发送气象灾害预警信息。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第二十条【工作指导】</w:t>
      </w:r>
      <w:r>
        <w:rPr>
          <w:rFonts w:hint="eastAsia" w:ascii="仿宋_GB2312" w:hAnsi="仿宋_GB2312" w:eastAsia="仿宋_GB2312" w:cs="仿宋_GB2312"/>
          <w:sz w:val="32"/>
          <w:szCs w:val="32"/>
        </w:rPr>
        <w:t xml:space="preserve"> 县级以上气象主管机构应当会同相关行业主管部门加强对重点单位预案编制、应急演练、知识培训、隐患排查等工作的指导，提高重点单位防灾减灾、自救互救能力。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第二十一条【行业探测设施】</w:t>
      </w:r>
      <w:r>
        <w:rPr>
          <w:rFonts w:hint="eastAsia" w:ascii="仿宋_GB2312" w:hAnsi="仿宋_GB2312" w:eastAsia="仿宋_GB2312" w:cs="仿宋_GB2312"/>
          <w:sz w:val="32"/>
          <w:szCs w:val="32"/>
        </w:rPr>
        <w:t xml:space="preserve"> 鼓励农业、林业、水利、旅游等行业重点单位根据自身生产经营需求，建设气象探测设施，并纳入国家气象观测网络，由气象主管机构牵头实行统一规划和监督协调。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第二十二条【科研保障】</w:t>
      </w:r>
      <w:r>
        <w:rPr>
          <w:rFonts w:hint="eastAsia" w:ascii="仿宋_GB2312" w:hAnsi="仿宋_GB2312" w:eastAsia="仿宋_GB2312" w:cs="仿宋_GB2312"/>
          <w:sz w:val="32"/>
          <w:szCs w:val="32"/>
        </w:rPr>
        <w:t xml:space="preserve"> 县级以上人民政府鼓励和支持相关部门、行业协会和科研机构等开展重点单位生产活动与气象要素关系研究，提高气象灾害防御能力。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第二十三条【防灾减灾保险】</w:t>
      </w:r>
      <w:r>
        <w:rPr>
          <w:rFonts w:hint="eastAsia" w:ascii="仿宋_GB2312" w:hAnsi="仿宋_GB2312" w:eastAsia="仿宋_GB2312" w:cs="仿宋_GB2312"/>
          <w:sz w:val="32"/>
          <w:szCs w:val="32"/>
        </w:rPr>
        <w:t xml:space="preserve"> 鼓励重点单位通过保险形式防御气象灾害风险。鼓励保险、金融机构将重点单位的气象灾害防御能力和水平评价结果作为优化信贷业务、承保理赔及核定保险费率的参考依据。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第二十四条【检查抽查管理】 </w:t>
      </w:r>
      <w:r>
        <w:rPr>
          <w:rFonts w:hint="eastAsia" w:ascii="仿宋_GB2312" w:hAnsi="仿宋_GB2312" w:eastAsia="仿宋_GB2312" w:cs="仿宋_GB2312"/>
          <w:sz w:val="32"/>
          <w:szCs w:val="32"/>
        </w:rPr>
        <w:t>相关行业主管部门应当会同应急管理、气象等部门对重点单位落实气象灾害防御责任情况进行联合检查或者抽查。检查或者抽查包括以下内容：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（一）气象灾害防御工作制度建设情况；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（二）应急预案制定、应急演练、知识培训开展情况；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（三）雷电防护等防御装置、器材、设施的检测及日常维护情况；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（四）气象灾害防御定期巡查、隐患排查及整改情况；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（五）气象灾害预警信息接收和传播情况；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（六）气象灾害应急处置情况；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（七）气象灾害防御档案建立情况；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（八）法律、法规和规章规定的应当实施监督检查的其他情况。</w:t>
      </w:r>
    </w:p>
    <w:p>
      <w:pPr>
        <w:keepNext w:val="0"/>
        <w:keepLines w:val="0"/>
        <w:pageBreakBefore w:val="0"/>
        <w:widowControl w:val="0"/>
        <w:kinsoku/>
        <w:wordWrap/>
        <w:overflowPunct/>
        <w:topLinePunct w:val="0"/>
        <w:autoSpaceDE/>
        <w:autoSpaceDN/>
        <w:bidi w:val="0"/>
        <w:adjustRightInd/>
        <w:snapToGrid/>
        <w:spacing w:before="312" w:beforeLines="100" w:after="312" w:afterLines="100"/>
        <w:jc w:val="center"/>
        <w:textAlignment w:val="auto"/>
        <w:rPr>
          <w:rFonts w:hint="eastAsia" w:ascii="黑体" w:hAnsi="黑体" w:eastAsia="黑体" w:cs="黑体"/>
          <w:sz w:val="32"/>
          <w:szCs w:val="32"/>
        </w:rPr>
      </w:pPr>
      <w:r>
        <w:rPr>
          <w:rFonts w:hint="eastAsia" w:ascii="黑体" w:hAnsi="黑体" w:eastAsia="黑体" w:cs="黑体"/>
          <w:sz w:val="32"/>
          <w:szCs w:val="32"/>
        </w:rPr>
        <w:t>第五章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第二十五条【罚则一】</w:t>
      </w:r>
      <w:r>
        <w:rPr>
          <w:rFonts w:hint="eastAsia" w:ascii="仿宋_GB2312" w:hAnsi="仿宋_GB2312" w:eastAsia="仿宋_GB2312" w:cs="仿宋_GB2312"/>
          <w:sz w:val="32"/>
          <w:szCs w:val="32"/>
        </w:rPr>
        <w:t xml:space="preserve"> 重点单位违反本办法规定，未履行气象灾害防御工作职责的，由相关行业主管部门责令改正，逾期未改正的，依法给予警告或者通报批评；违反治安管理行为的，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第二十六条【罚则二】</w:t>
      </w:r>
      <w:r>
        <w:rPr>
          <w:rFonts w:hint="eastAsia" w:ascii="仿宋_GB2312" w:hAnsi="仿宋_GB2312" w:eastAsia="仿宋_GB2312" w:cs="仿宋_GB2312"/>
          <w:sz w:val="32"/>
          <w:szCs w:val="32"/>
        </w:rPr>
        <w:t xml:space="preserve"> 相关行业主管部门及其工作人员违反本办法规定，未依法履行职责，在重点单位气象灾害防御工作中滥用职权、玩忽职守、徇私舞弊的，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第二十七条【罚则三】</w:t>
      </w:r>
      <w:r>
        <w:rPr>
          <w:rFonts w:hint="eastAsia" w:ascii="仿宋_GB2312" w:hAnsi="仿宋_GB2312" w:eastAsia="仿宋_GB2312" w:cs="仿宋_GB2312"/>
          <w:sz w:val="32"/>
          <w:szCs w:val="32"/>
        </w:rPr>
        <w:t xml:space="preserve"> 违反本办法规定的行为，法律法规已规定法律责任的，从其规定。</w:t>
      </w:r>
    </w:p>
    <w:p>
      <w:pPr>
        <w:keepNext w:val="0"/>
        <w:keepLines w:val="0"/>
        <w:pageBreakBefore w:val="0"/>
        <w:widowControl w:val="0"/>
        <w:kinsoku/>
        <w:wordWrap/>
        <w:overflowPunct/>
        <w:topLinePunct w:val="0"/>
        <w:autoSpaceDE/>
        <w:autoSpaceDN/>
        <w:bidi w:val="0"/>
        <w:adjustRightInd/>
        <w:snapToGrid/>
        <w:spacing w:before="312" w:beforeLines="100" w:after="312" w:afterLines="100"/>
        <w:jc w:val="center"/>
        <w:textAlignment w:val="auto"/>
        <w:rPr>
          <w:rFonts w:hint="eastAsia" w:ascii="黑体" w:hAnsi="黑体" w:eastAsia="黑体" w:cs="黑体"/>
          <w:sz w:val="32"/>
          <w:szCs w:val="32"/>
        </w:rPr>
      </w:pPr>
      <w:r>
        <w:rPr>
          <w:rFonts w:hint="eastAsia" w:ascii="黑体" w:hAnsi="黑体" w:eastAsia="黑体" w:cs="黑体"/>
          <w:sz w:val="32"/>
          <w:szCs w:val="32"/>
        </w:rPr>
        <w:t>第六章 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第二十八条【施行时间】</w:t>
      </w:r>
      <w:r>
        <w:rPr>
          <w:rFonts w:hint="eastAsia" w:ascii="仿宋_GB2312" w:hAnsi="仿宋_GB2312" w:eastAsia="仿宋_GB2312" w:cs="仿宋_GB2312"/>
          <w:sz w:val="32"/>
          <w:szCs w:val="32"/>
        </w:rPr>
        <w:t xml:space="preserve"> 本办法自 年 月 日起施行。</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FC4E5"/>
    <w:rsid w:val="3FFFC4E5"/>
    <w:rsid w:val="BCFBD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2025-08-01T14:03:00Z</dcterms:created>
  <dc:creator>王敏杰:处长</dc:creator>
  <cp:lastModifiedBy>王敏杰:处长</cp:lastModifiedBy>
  <dcterms:modified xsi:type="dcterms:W3CDTF">2025-08-01T14:14:08Z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